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8" w:rsidRDefault="00E04B38" w:rsidP="00F55D7B">
      <w:pPr>
        <w:spacing w:before="480" w:after="12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Контрольно-счетный орган</w:t>
      </w:r>
    </w:p>
    <w:p w:rsidR="00E04B38" w:rsidRDefault="00E04B38" w:rsidP="00F55D7B">
      <w:pPr>
        <w:spacing w:before="480" w:after="12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Васильевского сельского поселения Шуйского муниципального района Ивановской области</w:t>
      </w:r>
    </w:p>
    <w:p w:rsidR="00571D25" w:rsidRPr="002F3A19" w:rsidRDefault="00E04B38" w:rsidP="00F55D7B">
      <w:pPr>
        <w:spacing w:before="480" w:after="12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З</w:t>
      </w:r>
      <w:r w:rsidR="00571D25" w:rsidRPr="002F3A1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е</w:t>
      </w:r>
      <w:r w:rsidR="00571D25" w:rsidRPr="002F3A1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внешней проверке </w:t>
      </w:r>
      <w:r w:rsidR="00571D25" w:rsidRPr="002F3A1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на</w:t>
      </w:r>
      <w:r w:rsidR="00566AE3" w:rsidRPr="002F3A1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годовой </w:t>
      </w:r>
      <w:r w:rsidR="00571D25" w:rsidRPr="002F3A19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отчет об исполнении бюджета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Васильевского сельского поселения за 2020 год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264.4 Бюджетного кодекса Российской Федерации подготовлено заключение по годовому отчету об исполнении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за 20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Анализ деятельности по составлению годового отчета об исполнении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основывался на следующих документах: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-бюджет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и на плановый период 202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F519C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и 202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гг</w:t>
      </w:r>
      <w:r w:rsidR="00CF519C" w:rsidRPr="0094753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решением Совета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1 к пр.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 изменениями и дополнениями;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-отчет об исполнении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за 20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-бюджетная отчетность за 20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20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год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Представленные документы соответствуют требованиям Бюджетного Кодекса Российской Федерации и Положения о бюджетном процессе в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Васильевском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Цель внешней проверки: оценка достоверности годовой отчетности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Васильевского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поселения; соответствие порядка ведения бюджетного учета законодательству Ивановской области; соответствие фактического исполнения бюджета его плановым назначениям, подготовка заключения на годовой  отчет об исполнении бюджета;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b/>
          <w:sz w:val="26"/>
          <w:szCs w:val="26"/>
          <w:lang w:eastAsia="ru-RU"/>
        </w:rPr>
        <w:t>Предмет внешней проверки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: годовой отчет об исполнении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b/>
          <w:sz w:val="26"/>
          <w:szCs w:val="26"/>
          <w:lang w:eastAsia="ru-RU"/>
        </w:rPr>
        <w:t>Объект внешней проверки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: муниципальное образование «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Васильевское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</w:p>
    <w:p w:rsidR="00571D25" w:rsidRPr="00947537" w:rsidRDefault="00B03E82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Проверяемый </w:t>
      </w:r>
      <w:r w:rsidR="00571D25" w:rsidRPr="00947537">
        <w:rPr>
          <w:rFonts w:ascii="Times New Roman" w:hAnsi="Times New Roman" w:cs="Times New Roman"/>
          <w:b/>
          <w:sz w:val="26"/>
          <w:szCs w:val="26"/>
          <w:lang w:eastAsia="ru-RU"/>
        </w:rPr>
        <w:t>период</w:t>
      </w:r>
      <w:r w:rsidR="00571D25" w:rsidRPr="00947537">
        <w:rPr>
          <w:rFonts w:ascii="Times New Roman" w:hAnsi="Times New Roman" w:cs="Times New Roman"/>
          <w:sz w:val="26"/>
          <w:szCs w:val="26"/>
          <w:lang w:eastAsia="ru-RU"/>
        </w:rPr>
        <w:t>:  20</w:t>
      </w:r>
      <w:r w:rsidR="007E4D2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71D25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571D25" w:rsidRPr="00E04B38" w:rsidRDefault="00571D25" w:rsidP="00E04B3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04B3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Соблюдение требований Бюджетного кодекса Российской Федерации и местных нормативных правовых актов по утверждению отчета об исполнении </w:t>
      </w:r>
      <w:bookmarkStart w:id="0" w:name="_GoBack"/>
      <w:r w:rsidRPr="00E04B38">
        <w:rPr>
          <w:rFonts w:ascii="Times New Roman" w:hAnsi="Times New Roman" w:cs="Times New Roman"/>
          <w:b/>
          <w:sz w:val="26"/>
          <w:szCs w:val="26"/>
          <w:lang w:eastAsia="ru-RU"/>
        </w:rPr>
        <w:t>местного бюджета за 20</w:t>
      </w:r>
      <w:r w:rsidR="009A5C3E" w:rsidRPr="00E04B3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E04B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0"/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представления, рассмотрения и утверждения годового </w:t>
      </w:r>
      <w:r w:rsidR="00B03E82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чета об исполнении бюджета поселения, в том числе, проведение внешней проверке годового отчета об исполнении местного бюджета, определен статьей 32 Положения «О бюджетном процессе в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Васильевском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Шуйского муниципального района», утвержденного решением Совета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1 к пр.7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по тексту Положение о бюджетном процессе).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соответствие со статьей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годовой отчет об исполнении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до его рассмотрения в Совете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Российской Федерации.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В соответствие с пунктами 1 и 4 статьи 264.4 Бюджетного кодекса Российской Федерации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бюджета.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ведомственной структуре расходов бюджета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(приложение № 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) к решению Совета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17.12.2019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>1 к пр.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 бюджетные ассигнования распределены по одному главному распорядителю бюджетных средств – администрации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Проверка показала, что согласно решению Совета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>1 к пр.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 бюджет поселения на 20</w:t>
      </w:r>
      <w:r w:rsidR="009A5C3E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первоначально утвержден по доходам в сумме </w:t>
      </w:r>
      <w:r w:rsidR="0034793E" w:rsidRPr="00947537">
        <w:rPr>
          <w:rFonts w:ascii="Times New Roman" w:hAnsi="Times New Roman" w:cs="Times New Roman"/>
          <w:sz w:val="26"/>
          <w:szCs w:val="26"/>
          <w:lang w:eastAsia="ru-RU"/>
        </w:rPr>
        <w:t>10076581,61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рублей, по расходам в сумме </w:t>
      </w:r>
      <w:r w:rsidR="0034793E" w:rsidRPr="00947537">
        <w:rPr>
          <w:rFonts w:ascii="Times New Roman" w:hAnsi="Times New Roman" w:cs="Times New Roman"/>
          <w:sz w:val="26"/>
          <w:szCs w:val="26"/>
          <w:lang w:eastAsia="ru-RU"/>
        </w:rPr>
        <w:t>10076581,61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рублей.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ab/>
        <w:t>На основании показателей бюджетной росписи администрации поселения (лимитов бюджетных обязательств) главным распорядителем (получателем) средств бюджета составлена бюджетная смета, утвержденная главой поселения 2</w:t>
      </w:r>
      <w:r w:rsidR="00740114" w:rsidRPr="0094753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EA2225" w:rsidRPr="009475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В течение года в бюджет поселения решениями Совета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и на основании справок-уведомлений об изменении бюджетных ассигнований вносились изменения, в результате, уточненный план на 20</w:t>
      </w:r>
      <w:r w:rsidR="00EA2225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доходам бюджета поселения составил </w:t>
      </w:r>
      <w:r w:rsidR="0034793E" w:rsidRPr="00947537">
        <w:rPr>
          <w:rFonts w:ascii="Times New Roman" w:hAnsi="Times New Roman" w:cs="Times New Roman"/>
          <w:sz w:val="26"/>
          <w:szCs w:val="26"/>
          <w:lang w:eastAsia="ru-RU"/>
        </w:rPr>
        <w:t>14093,2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по расходам – </w:t>
      </w:r>
      <w:r w:rsidR="0034793E" w:rsidRPr="00947537">
        <w:rPr>
          <w:rFonts w:ascii="Times New Roman" w:hAnsi="Times New Roman" w:cs="Times New Roman"/>
          <w:sz w:val="26"/>
          <w:szCs w:val="26"/>
          <w:lang w:eastAsia="ru-RU"/>
        </w:rPr>
        <w:t>14172,4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  Дефицит утверждён в сумме </w:t>
      </w:r>
      <w:r w:rsidR="0034793E" w:rsidRPr="00947537">
        <w:rPr>
          <w:rFonts w:ascii="Times New Roman" w:hAnsi="Times New Roman" w:cs="Times New Roman"/>
          <w:sz w:val="26"/>
          <w:szCs w:val="26"/>
          <w:lang w:eastAsia="ru-RU"/>
        </w:rPr>
        <w:t>79,2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Проверка соответствия показателей, отраженных в отчетных формах финансового органа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Выборочной проверкой соответствия показателей форм бюджетной отчетности 0503117 «Отчёт об исполнении бюджета» расхождений не установлено.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Соблюдение требований бюджетного законодательства об ограничении предельных объёмов муниципального долга и расходов на обслуживание муниципального долга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Согласно Отчёту об исполнении бюджета (ф.0503117), Отчету о финансовых результатах деятельности (ф.0503121) по состоянию на 01.01.202</w:t>
      </w:r>
      <w:r w:rsidR="0029775C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года расходы на обслуживание муниципального долга не запланированы и фактически не осуществлялись.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Полнота представления и правильность оформления финансовым органом муниципального образования форм годовой бюджетной отчетности в соответствие с требованиями статьи 264.1 Бюджетного кодекса Российской Федерации, Инструкции о порядке составления и представления годовой, квартальной и месячной отчетности», утвержденной приказом министерства финансов РФ от 28 декабря 2010 N 191н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Согласно статье 264.1 Бюджетного кодекса Российской Федерации бюджетная отчетность включает: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- отчет об исполнении бюджета;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- баланс исполнения бюджета;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- отчёт о финансовых результатах деятельности;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- отчет о движении денежных средств;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- пояснительную записку.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Порядок составления бюджетной отчетности регулируется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В соответствии с требованиями Инструкции № 191н бюджетная отчетность составлена за отчетный период с 01 января 20</w:t>
      </w:r>
      <w:r w:rsidR="0029775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года по 31 декабря 20</w:t>
      </w:r>
      <w:r w:rsidR="0029775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года включительно.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составе годовой бюджетной отчетности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представлены следующие формы: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 - Баланс исполнения бюджета (ф. 0503120);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Отчет о финансовых результатах деятельности (ф. 0503121);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Справка по консолидируемым расчетам (ф. 0503125);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Справка по заключению счетов бюджетного учета отчетного финансового года (ф. 0503110);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Отчет об исполнении бюджета (ф. 0503117);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Отчет о движении денежных средств (ф. 0503123);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  Выборочной проверкой соответствия между отдельными показателями форм бюджетной отчетности отклонений не установлено.</w:t>
      </w:r>
    </w:p>
    <w:p w:rsidR="00DD7547" w:rsidRPr="00947537" w:rsidRDefault="00DD7547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793E" w:rsidRPr="00947537" w:rsidRDefault="0034793E" w:rsidP="0094753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37">
        <w:rPr>
          <w:rFonts w:ascii="Times New Roman" w:hAnsi="Times New Roman" w:cs="Times New Roman"/>
          <w:b/>
          <w:sz w:val="26"/>
          <w:szCs w:val="26"/>
        </w:rPr>
        <w:t>Анализ общих показателей бюджета Васильевского сельского поселения.</w:t>
      </w:r>
    </w:p>
    <w:p w:rsidR="009C453B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 xml:space="preserve">Бюджет Васильевского сельского поселения на 2020 год утвержден Решением Совета Васильевского сельского поселения от 17.12.2019 г. № 1 к пр.7 «О бюджете Васильевского сельского поселения на 2020 и на плановый период 2021 и 2022 годов» по доходам в сумме </w:t>
      </w:r>
      <w:r w:rsidR="009C453B" w:rsidRPr="00947537">
        <w:rPr>
          <w:rFonts w:ascii="Times New Roman" w:hAnsi="Times New Roman" w:cs="Times New Roman"/>
          <w:sz w:val="26"/>
          <w:szCs w:val="26"/>
        </w:rPr>
        <w:t>10076,6</w:t>
      </w:r>
      <w:r w:rsidRPr="00947537">
        <w:rPr>
          <w:rFonts w:ascii="Times New Roman" w:hAnsi="Times New Roman" w:cs="Times New Roman"/>
          <w:sz w:val="26"/>
          <w:szCs w:val="26"/>
        </w:rPr>
        <w:t xml:space="preserve"> тыс. руб., по расходам – </w:t>
      </w:r>
      <w:r w:rsidR="009C453B" w:rsidRPr="00947537">
        <w:rPr>
          <w:rFonts w:ascii="Times New Roman" w:hAnsi="Times New Roman" w:cs="Times New Roman"/>
          <w:sz w:val="26"/>
          <w:szCs w:val="26"/>
        </w:rPr>
        <w:t xml:space="preserve">10076,6 </w:t>
      </w:r>
      <w:r w:rsidRPr="00947537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В течение финансового года в Решение о бюджете были внесены изменения: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1) доходная часть бюджета была увеличена на 4016,6 тыс. руб. (с 10076,6 до 14093,2 тыс. руб.), в том числе: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налоговые доходы</w:t>
      </w:r>
      <w:r w:rsidRPr="0094753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47537">
        <w:rPr>
          <w:rFonts w:ascii="Times New Roman" w:hAnsi="Times New Roman" w:cs="Times New Roman"/>
          <w:sz w:val="26"/>
          <w:szCs w:val="26"/>
        </w:rPr>
        <w:t>увеличены на 79,6 тыс. руб. (с 1631,2 до 1710,8 тыс. руб.);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 xml:space="preserve">неналоговые доходы </w:t>
      </w:r>
      <w:r w:rsidR="009C453B">
        <w:rPr>
          <w:rFonts w:ascii="Times New Roman" w:hAnsi="Times New Roman" w:cs="Times New Roman"/>
          <w:sz w:val="26"/>
          <w:szCs w:val="26"/>
        </w:rPr>
        <w:t>увеличены</w:t>
      </w:r>
      <w:r w:rsidRPr="00947537">
        <w:rPr>
          <w:rFonts w:ascii="Times New Roman" w:hAnsi="Times New Roman" w:cs="Times New Roman"/>
          <w:sz w:val="26"/>
          <w:szCs w:val="26"/>
        </w:rPr>
        <w:t xml:space="preserve"> на 125,8 тыс. руб. (с 30,0   до 155,8 тыс. руб.);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безвозмездные поступления увеличены на 3811,2 тыс. руб. (с 8415,4 до 12226,6 тыс. руб.);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2) расходная часть была увеличена на 4095,8 тыс. руб. (с 10076,6 тыс. руб. до 14172,4 тыс. руб.)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947537">
        <w:rPr>
          <w:rFonts w:ascii="Times New Roman" w:hAnsi="Times New Roman" w:cs="Times New Roman"/>
          <w:sz w:val="26"/>
          <w:szCs w:val="26"/>
        </w:rPr>
        <w:t>Первоначально утвержденный сбалансированный, бюджет сельского поселения на 2020 год после внесенных в него изменений утвержден дефицитным.</w:t>
      </w:r>
    </w:p>
    <w:p w:rsidR="0034793E" w:rsidRPr="00947537" w:rsidRDefault="0034793E" w:rsidP="009475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lastRenderedPageBreak/>
        <w:t>Проверка и анализ выполнения плановых показателей годового отчета об исполнении бюджета за 2020 год по доходам</w:t>
      </w: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t>В соответствии с отчетом об исполнении консолидированного бюджета Васильевского сельского поселения (ф. 0503117) исполнение бюджета за 2020год по доходам составило</w:t>
      </w:r>
      <w:r w:rsidRPr="00947537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</w:rPr>
        <w:t xml:space="preserve"> </w:t>
      </w: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t>14085,4 тыс. руб. и остатки прошлых лет 79,2 тыс. руб. при плановых назначениях в последней редакции решения в сумме 14164,6 тыс. руб. Бюджет Васильевского сельского поселения по доходам выполнен на 99,9 %.</w:t>
      </w: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t>Анализ исполнения бюджета Васильевского сельского поселения за 2020 год по доходам представлен в таблице 1.</w:t>
      </w: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В целом в 2020 году объем поступлений доходов бюджета сельского поселения выше уровня поступлений 2019 года на 2475,7 тыс. руб. или на 121,3 %, налоговые и неналоговые доходы уменьшились    на 638,3 тыс. руб. </w:t>
      </w: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4753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Структура доходов бюджета сельского поселения представлена диаграммой на рисунке 1.</w:t>
      </w: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34793E" w:rsidRPr="00947537" w:rsidRDefault="0034793E" w:rsidP="00947537">
      <w:pPr>
        <w:jc w:val="both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</w:rPr>
        <w:sectPr w:rsidR="0034793E" w:rsidRPr="00947537" w:rsidSect="00DD754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34793E" w:rsidRPr="0034793E" w:rsidRDefault="0034793E" w:rsidP="00C0099C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</w:pPr>
      <w:r w:rsidRPr="0034793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  <w:lastRenderedPageBreak/>
        <w:t>Таблица 1</w:t>
      </w:r>
    </w:p>
    <w:p w:rsidR="0034793E" w:rsidRPr="0034793E" w:rsidRDefault="0034793E" w:rsidP="0034793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</w:rPr>
      </w:pPr>
      <w:r w:rsidRPr="0034793E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</w:rPr>
        <w:t>Анализ исполнение бюджета Васильевского сельского поселения по доходам за 2020 год</w:t>
      </w:r>
    </w:p>
    <w:tbl>
      <w:tblPr>
        <w:tblW w:w="1573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970"/>
        <w:gridCol w:w="2835"/>
        <w:gridCol w:w="1842"/>
        <w:gridCol w:w="1134"/>
        <w:gridCol w:w="1276"/>
        <w:gridCol w:w="1276"/>
        <w:gridCol w:w="1134"/>
        <w:gridCol w:w="1134"/>
        <w:gridCol w:w="1134"/>
      </w:tblGrid>
      <w:tr w:rsidR="0034793E" w:rsidRPr="00C0099C" w:rsidTr="00C0099C">
        <w:trPr>
          <w:trHeight w:val="11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Исполнено в 2019 году,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Темп роста, %</w:t>
            </w:r>
          </w:p>
        </w:tc>
      </w:tr>
      <w:tr w:rsidR="0034793E" w:rsidRPr="00C0099C" w:rsidTr="00C0099C">
        <w:trPr>
          <w:trHeight w:val="10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Исполнено,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Отклонение от плановых назначений,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Уровень исполнения,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/>
                <w:bCs/>
                <w:color w:val="000000"/>
              </w:rPr>
              <w:t>Удельный вес в общем объеме доходов,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93E" w:rsidRPr="00C0099C" w:rsidTr="00C0099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-3,5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74,5</w:t>
            </w: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-5,2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99,8</w:t>
            </w:r>
          </w:p>
        </w:tc>
      </w:tr>
      <w:tr w:rsidR="0034793E" w:rsidRPr="00C0099C" w:rsidTr="00C0099C">
        <w:trPr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000 1 03 02000 01 0000 110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793E" w:rsidRPr="00C0099C" w:rsidTr="00C0099C">
        <w:trPr>
          <w:trHeight w:val="2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113,0</w:t>
            </w:r>
          </w:p>
        </w:tc>
      </w:tr>
      <w:tr w:rsidR="0034793E" w:rsidRPr="00C0099C" w:rsidTr="00C0099C">
        <w:trPr>
          <w:trHeight w:val="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99,2</w:t>
            </w:r>
          </w:p>
        </w:tc>
      </w:tr>
      <w:tr w:rsidR="0034793E" w:rsidRPr="00C0099C" w:rsidTr="00C0099C">
        <w:trPr>
          <w:trHeight w:val="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Гос.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99,2</w:t>
            </w:r>
          </w:p>
        </w:tc>
      </w:tr>
      <w:tr w:rsidR="0034793E" w:rsidRPr="00C0099C" w:rsidTr="00C0099C">
        <w:trPr>
          <w:trHeight w:val="3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336,4</w:t>
            </w: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12226,6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12222,3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9108,2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134,2</w:t>
            </w: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000 2 02 01000 00 0000 151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7091,9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7091,9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6874,8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103,2</w:t>
            </w:r>
          </w:p>
        </w:tc>
      </w:tr>
      <w:tr w:rsidR="0034793E" w:rsidRPr="00C0099C" w:rsidTr="00C0099C">
        <w:trPr>
          <w:trHeight w:val="5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000 2 02 02000 00 0000 151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4085,1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4080,8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-4,3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467,2</w:t>
            </w:r>
          </w:p>
        </w:tc>
      </w:tr>
      <w:tr w:rsidR="0034793E" w:rsidRPr="00C0099C" w:rsidTr="00C0099C">
        <w:trPr>
          <w:trHeight w:val="7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000 2 02 03000 00 0000 151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112,6</w:t>
            </w: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000 2 02 04000 00 0000 151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71,1</w:t>
            </w: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Увеличение прочих денежных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000 0 10 50201 10 0000 510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793E" w:rsidRPr="00C0099C" w:rsidTr="00C0099C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000 8 50 00000 00 0000 000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14093,2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14085,4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0099C">
              <w:rPr>
                <w:rFonts w:ascii="Times New Roman" w:hAnsi="Times New Roman" w:cs="Times New Roman"/>
                <w:bCs/>
                <w:color w:val="000000"/>
              </w:rPr>
              <w:t>11609,7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3E" w:rsidRPr="00C0099C" w:rsidRDefault="0034793E" w:rsidP="00C0099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099C">
              <w:rPr>
                <w:rFonts w:ascii="Times New Roman" w:hAnsi="Times New Roman" w:cs="Times New Roman"/>
              </w:rPr>
              <w:t>121,3</w:t>
            </w:r>
          </w:p>
        </w:tc>
      </w:tr>
    </w:tbl>
    <w:p w:rsidR="0034793E" w:rsidRPr="0034793E" w:rsidRDefault="0034793E" w:rsidP="0034793E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</w:rPr>
      </w:pPr>
    </w:p>
    <w:p w:rsidR="0034793E" w:rsidRPr="0034793E" w:rsidRDefault="0034793E" w:rsidP="0034793E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</w:rPr>
        <w:sectPr w:rsidR="0034793E" w:rsidRPr="0034793E" w:rsidSect="00C0099C">
          <w:pgSz w:w="16838" w:h="11906" w:orient="landscape"/>
          <w:pgMar w:top="142" w:right="1134" w:bottom="851" w:left="851" w:header="709" w:footer="709" w:gutter="0"/>
          <w:cols w:space="708"/>
          <w:docGrid w:linePitch="360"/>
        </w:sectPr>
      </w:pPr>
    </w:p>
    <w:p w:rsidR="00F55D7B" w:rsidRPr="009F04F0" w:rsidRDefault="00F55D7B" w:rsidP="00566AE3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55D7B" w:rsidRPr="009F04F0" w:rsidRDefault="00F55D7B" w:rsidP="00F55D7B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Согласно ст. </w:t>
      </w:r>
      <w:r w:rsidRPr="00DD7547">
        <w:rPr>
          <w:rFonts w:ascii="Times New Roman" w:hAnsi="Times New Roman" w:cs="Times New Roman"/>
          <w:sz w:val="26"/>
          <w:szCs w:val="26"/>
        </w:rPr>
        <w:t>61. Бюджетного кодекса РФ в бюджеты поселений зачисляются налоговые доходы от:</w:t>
      </w: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- земельного налога - по нормативу 100 процентов;</w:t>
      </w: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- налога на имущество физических лиц - по нормативу 100 процентов.</w:t>
      </w: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- налога на доходы физических лиц - по нормативу 5 процентов;</w:t>
      </w: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- единого сельскохозяйственного налога - по нормативу 30 процентов;</w:t>
      </w:r>
    </w:p>
    <w:p w:rsidR="008C04A9" w:rsidRPr="00DD7547" w:rsidRDefault="008C04A9" w:rsidP="0094753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По данным формы отчетности 0503117 в бюджет сельского поселения в 2020 году поступило </w:t>
      </w:r>
      <w:r w:rsidRPr="00DD7547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</w:rPr>
        <w:t>налоговых доходов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сумму 1707,3 тыс. руб. или 99,8% к объему запланированных бюджетных назначений в последней редакции решения о бюджете. По сравнению с 2019 годом произошло уменьшение объемов поступлений налоговых доходов на 69,9 %.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Сумма поступлений в бюджет сельского поселения налога на доходы физических лиц за 2020 год составила 494,8 тыс. руб. (99 % к уточненному плану). По сравнению с 2019 годом налог на доходы физических лиц поступил меньше на 0,8 тыс. руб. или на 99,8 %.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В течение 2020 года в доходную часть бюджета сельского поселения по налогу на доходы физических лиц внесены изменения</w:t>
      </w:r>
      <w:r w:rsidRPr="00DD7547">
        <w:rPr>
          <w:rFonts w:ascii="Times New Roman" w:hAnsi="Times New Roman" w:cs="Times New Roman"/>
          <w:sz w:val="26"/>
          <w:szCs w:val="26"/>
        </w:rPr>
        <w:t>.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В результате, по сравнению с первоначально утвержденным налогом на доходы физических лиц в сумме 543 тыс. руб. произошло уменьшение объемов поступлений на 43 тыс. руб. 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В 2020 году в бюджет поселения единый сельскохозяйственный налог поступил в сумме 20,7 тыс. руб., что соответствует запланированному показателю в последней редакции решения о бюджете. По сравнению с уровнем исполнения 2019 года поступления единого сельскохозяйственного налога увеличились на 2,3 тыс.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руб.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Налог на имущество физических лиц поступил в бюджет сельского поселения в сумме 1191,8 тыс. руб., что составляет 100,0 % по отношению к запланированным показателям в последней редакции решения о бюджете</w:t>
      </w:r>
      <w:r w:rsidRPr="00DD7547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</w:rPr>
        <w:t xml:space="preserve">.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По сравнению с объемом поступлений 2019 го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да сумма налога уменьшилась на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9,7 тыс. руб. или на 99,2 %. По сравнению с первоначально утвержденными назначениями в сумме 1085,0 тыс. руб. поступления налога увеличилась на 105,0 тыс. руб.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В 2020 году в бюджет сельского поселения земельный налог поступил в сумме 1086 тыс. руб., что соответствует 100,0 % запланированного показателя в последней редакции решения о бюджете и уменьшен на 29,2 тыс. руб.  по сравнению с уровнем исполнения 2019 года.</w:t>
      </w:r>
      <w:r w:rsidRPr="00DD7547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</w:rPr>
        <w:t xml:space="preserve">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Первоначально земельный налог был утвержден в сумме 1005,0 тыс. руб.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Государственная пошлина в бюджет Васильевского сельского поселения в 2020 году поступила в сумме 17,2 тыс. руб. при запланированном объеме поступлений в последней редакции решения о бюджете – 17,2 тыс. руб. По сравнению с 2019 годом государственная пошлина поступление в бюджет поселения на 2,0 тыс. руб. уменьшилась.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Наибольший удельный вес в общем объеме налоговых доходов в 2020 году составляют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lastRenderedPageBreak/>
        <w:t>налоги на имущество, доходы – 8,5 %.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</w:rPr>
        <w:t>Неналоговые доходы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поступили в 2020году в бюджет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поселения в общей сумме 138,6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тыс. </w:t>
      </w:r>
      <w:proofErr w:type="gramStart"/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руб..</w:t>
      </w:r>
      <w:proofErr w:type="gramEnd"/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Первоначально неналоговые доходы были запланированы в сумме 0 тыс. руб. В результате внесенных изменений в бюджет за 2020 год были добавлены разделы: прочие доходы от оказания платных услуг (работ) получателями средств сельских бюджетов, сумма налога увеличилась на 2,4 тыс. руб., прочие доходы от компенсации затрат бюджетов сельских поселений, сумма налога 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увеличилась на 116,2 тыс. руб.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Неналоговые доходы за 2020год были увеличены </w:t>
      </w:r>
      <w:r w:rsidR="00B03E8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на 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138,6 тыс. руб.      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от других бюджетов бюджетной системы РФ в бюджет сельского поселения поступили в сумме 12222,3 тыс. руб., что фактически соответствует утвержденным назначениям в последней редакции решения о бюджете.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В бюджет сельского поселения за 2020 год перечислено: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- дотаций в размере 7091,9</w:t>
      </w:r>
      <w:r w:rsidRPr="00DD7547">
        <w:rPr>
          <w:rFonts w:ascii="Times New Roman" w:eastAsia="Lucida Sans Unicode" w:hAnsi="Times New Roman" w:cs="Times New Roman"/>
          <w:sz w:val="26"/>
          <w:szCs w:val="26"/>
        </w:rPr>
        <w:t> тыс. руб. или 100,0 % годовых назначений</w:t>
      </w: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;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- субсидий в размере 4080,8 тыс. руб. или 99,9 % годовых назначений;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- субвенций в размере 226,6 тыс. руб. или фактически 100 % годовых назначений;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kern w:val="1"/>
          <w:sz w:val="26"/>
          <w:szCs w:val="26"/>
        </w:rPr>
        <w:t>- межбюджетные трансферты, предоставляемые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в размере 823,0 тыс. руб. или фактически 100 % годовых назначений.</w:t>
      </w:r>
    </w:p>
    <w:p w:rsidR="008C04A9" w:rsidRPr="00DD7547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8C04A9" w:rsidRDefault="008C04A9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  <w:r w:rsidRPr="00DD7547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Исполнение плановых показателей по каждому разделу доходов бюджета фактически без отклонений свидетельствует о качественном планировании и своевременности внесения изменений и уточнений в решение о бюджете.</w:t>
      </w:r>
    </w:p>
    <w:p w:rsidR="00947537" w:rsidRPr="00DD7547" w:rsidRDefault="00947537" w:rsidP="0094753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</w:p>
    <w:p w:rsidR="00F55D7B" w:rsidRDefault="00F55D7B" w:rsidP="00947537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547">
        <w:rPr>
          <w:rFonts w:ascii="Times New Roman" w:hAnsi="Times New Roman" w:cs="Times New Roman"/>
          <w:b/>
          <w:sz w:val="26"/>
          <w:szCs w:val="26"/>
        </w:rPr>
        <w:t>Исполнение бюджета по функциональной классификации расходов</w:t>
      </w:r>
    </w:p>
    <w:p w:rsidR="00947537" w:rsidRPr="00DD7547" w:rsidRDefault="00947537" w:rsidP="00947537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4A9" w:rsidRPr="00DD7547" w:rsidRDefault="008C04A9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Расходы бюджета Васильевского сельского поселения за 2020 год исполнены в сумме 13968,6 тыс. руб. или 98,6% к уточненному плану.</w:t>
      </w:r>
    </w:p>
    <w:p w:rsidR="008C04A9" w:rsidRPr="00DD7547" w:rsidRDefault="008C04A9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8C04A9" w:rsidRPr="00DD7547" w:rsidRDefault="008C04A9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547">
        <w:rPr>
          <w:rFonts w:ascii="Times New Roman" w:hAnsi="Times New Roman" w:cs="Times New Roman"/>
          <w:sz w:val="26"/>
          <w:szCs w:val="26"/>
        </w:rPr>
        <w:t>Основные итоги исполнения расходов бюджета за 2020 год по разделам и подразделам функциональной классификации расходов бюджетов РФ приведены в таблице 2.</w:t>
      </w:r>
    </w:p>
    <w:p w:rsidR="008C04A9" w:rsidRDefault="008C04A9" w:rsidP="00947537">
      <w:pPr>
        <w:ind w:firstLine="540"/>
        <w:jc w:val="both"/>
        <w:rPr>
          <w:sz w:val="26"/>
          <w:szCs w:val="26"/>
        </w:rPr>
      </w:pPr>
    </w:p>
    <w:p w:rsidR="00F55D7B" w:rsidRPr="009F04F0" w:rsidRDefault="00F55D7B" w:rsidP="00F55D7B">
      <w:pPr>
        <w:ind w:firstLine="540"/>
        <w:jc w:val="both"/>
        <w:rPr>
          <w:rFonts w:ascii="Times New Roman" w:hAnsi="Times New Roman" w:cs="Times New Roman"/>
        </w:rPr>
      </w:pPr>
    </w:p>
    <w:p w:rsidR="00F55D7B" w:rsidRPr="009F04F0" w:rsidRDefault="00F55D7B" w:rsidP="00F55D7B">
      <w:pPr>
        <w:ind w:firstLine="540"/>
        <w:jc w:val="both"/>
        <w:rPr>
          <w:rFonts w:ascii="Times New Roman" w:hAnsi="Times New Roman" w:cs="Times New Roman"/>
        </w:rPr>
      </w:pPr>
    </w:p>
    <w:p w:rsidR="00F55D7B" w:rsidRPr="009F04F0" w:rsidRDefault="00F55D7B" w:rsidP="00F55D7B">
      <w:pPr>
        <w:ind w:firstLine="540"/>
        <w:jc w:val="both"/>
        <w:rPr>
          <w:rFonts w:ascii="Times New Roman" w:hAnsi="Times New Roman" w:cs="Times New Roman"/>
        </w:rPr>
      </w:pPr>
    </w:p>
    <w:p w:rsidR="00F55D7B" w:rsidRPr="009F04F0" w:rsidRDefault="00F55D7B" w:rsidP="00F55D7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Lucida Sans Unicode" w:hAnsi="Times New Roman" w:cs="Times New Roman"/>
          <w:i/>
          <w:kern w:val="1"/>
        </w:rPr>
        <w:sectPr w:rsidR="00F55D7B" w:rsidRPr="009F04F0" w:rsidSect="005C71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571" w:header="283" w:footer="283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8C04A9" w:rsidRPr="008C04A9" w:rsidTr="009C453B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 за 2019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8C04A9" w:rsidRPr="008C04A9" w:rsidTr="009C453B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106,8</w:t>
            </w:r>
          </w:p>
        </w:tc>
      </w:tr>
      <w:tr w:rsidR="008C04A9" w:rsidRPr="008C04A9" w:rsidTr="009C453B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0104,</w:t>
            </w:r>
          </w:p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3320,9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3308,8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ind w:left="-168"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3434,8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C04A9" w:rsidRPr="008C04A9" w:rsidTr="009C453B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4A9" w:rsidRPr="008C04A9" w:rsidTr="009C453B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8C04A9" w:rsidRPr="008C04A9" w:rsidTr="009C453B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112,4</w:t>
            </w:r>
          </w:p>
        </w:tc>
      </w:tr>
      <w:tr w:rsidR="008C04A9" w:rsidRPr="008C04A9" w:rsidTr="009C453B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112,4</w:t>
            </w:r>
          </w:p>
        </w:tc>
      </w:tr>
      <w:tr w:rsidR="008C04A9" w:rsidRPr="008C04A9" w:rsidTr="009C453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85,9</w:t>
            </w:r>
          </w:p>
        </w:tc>
      </w:tr>
      <w:tr w:rsidR="008C04A9" w:rsidRPr="008C04A9" w:rsidTr="009C453B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8C04A9" w:rsidRPr="008C04A9" w:rsidTr="009C453B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873,6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69,8</w:t>
            </w:r>
          </w:p>
        </w:tc>
      </w:tr>
      <w:tr w:rsidR="008C04A9" w:rsidRPr="008C04A9" w:rsidTr="009C453B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1635,2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1530,4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-104,8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2192,4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8C04A9" w:rsidRPr="008C04A9" w:rsidTr="009C453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4A9" w:rsidRPr="008C04A9" w:rsidTr="009C453B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7507,3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7488,6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167,2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7507,3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7488,6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167,2</w:t>
            </w:r>
          </w:p>
        </w:tc>
      </w:tr>
      <w:tr w:rsidR="008C04A9" w:rsidRPr="008C04A9" w:rsidTr="009C453B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150,2</w:t>
            </w:r>
          </w:p>
        </w:tc>
      </w:tr>
      <w:tr w:rsidR="008C04A9" w:rsidRPr="008C04A9" w:rsidTr="009C453B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4A9" w:rsidRPr="008C04A9" w:rsidTr="009C453B">
        <w:trPr>
          <w:trHeight w:val="4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4A9" w:rsidRPr="008C04A9" w:rsidTr="009C453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14172,4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13968,6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A9" w:rsidRPr="008C04A9" w:rsidRDefault="008C04A9" w:rsidP="009C4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120,3</w:t>
            </w:r>
          </w:p>
        </w:tc>
      </w:tr>
    </w:tbl>
    <w:p w:rsidR="00F55D7B" w:rsidRPr="008C04A9" w:rsidRDefault="00F55D7B" w:rsidP="006D4D4B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sectPr w:rsidR="00F55D7B" w:rsidRPr="008C04A9" w:rsidSect="006D4D4B">
          <w:pgSz w:w="16838" w:h="11906" w:orient="landscape"/>
          <w:pgMar w:top="851" w:right="1134" w:bottom="1701" w:left="1134" w:header="170" w:footer="454" w:gutter="0"/>
          <w:cols w:space="708"/>
          <w:docGrid w:linePitch="360"/>
        </w:sectPr>
      </w:pPr>
    </w:p>
    <w:p w:rsidR="008C04A9" w:rsidRPr="008C04A9" w:rsidRDefault="008C04A9" w:rsidP="00947537">
      <w:pPr>
        <w:tabs>
          <w:tab w:val="left" w:pos="180"/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по расходам местного бюджета за 2020 год составило 13968,6 тыс. руб. при плановых назначениях, утвержденных решением о бюджете Васильевского сельского </w:t>
      </w:r>
      <w:r w:rsidR="00B03E8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C04A9">
        <w:rPr>
          <w:rFonts w:ascii="Times New Roman" w:hAnsi="Times New Roman" w:cs="Times New Roman"/>
          <w:sz w:val="26"/>
          <w:szCs w:val="26"/>
        </w:rPr>
        <w:t>на 2020 год в сумме 14172,4 тыс. руб.</w:t>
      </w:r>
    </w:p>
    <w:p w:rsidR="008C04A9" w:rsidRPr="008C04A9" w:rsidRDefault="008C04A9" w:rsidP="00947537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Приоритетные направления расходных обязательств бюджета составили:</w:t>
      </w:r>
    </w:p>
    <w:p w:rsidR="008C04A9" w:rsidRPr="008C04A9" w:rsidRDefault="008C04A9" w:rsidP="00947537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04A9">
        <w:rPr>
          <w:rFonts w:ascii="Times New Roman" w:hAnsi="Times New Roman" w:cs="Times New Roman"/>
          <w:sz w:val="26"/>
          <w:szCs w:val="26"/>
        </w:rPr>
        <w:t>Ж</w:t>
      </w:r>
      <w:r w:rsidR="00B03E82">
        <w:rPr>
          <w:rFonts w:ascii="Times New Roman" w:hAnsi="Times New Roman" w:cs="Times New Roman"/>
          <w:sz w:val="26"/>
          <w:szCs w:val="26"/>
        </w:rPr>
        <w:t>илищно</w:t>
      </w:r>
      <w:proofErr w:type="spellEnd"/>
      <w:r w:rsidR="00B03E82">
        <w:rPr>
          <w:rFonts w:ascii="Times New Roman" w:hAnsi="Times New Roman" w:cs="Times New Roman"/>
          <w:sz w:val="26"/>
          <w:szCs w:val="26"/>
        </w:rPr>
        <w:t xml:space="preserve"> – коммунальное хозяйство</w:t>
      </w:r>
      <w:r w:rsidRPr="008C04A9">
        <w:rPr>
          <w:rFonts w:ascii="Times New Roman" w:hAnsi="Times New Roman" w:cs="Times New Roman"/>
          <w:sz w:val="26"/>
          <w:szCs w:val="26"/>
        </w:rPr>
        <w:t xml:space="preserve"> – 11,0 % от общей суммы расходов; </w:t>
      </w:r>
    </w:p>
    <w:p w:rsidR="008C04A9" w:rsidRPr="008C04A9" w:rsidRDefault="008C04A9" w:rsidP="00947537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общегосударственные расходы – 26,9 % от общей суммы расходов;</w:t>
      </w:r>
    </w:p>
    <w:p w:rsidR="008C04A9" w:rsidRPr="008C04A9" w:rsidRDefault="008C04A9" w:rsidP="00947537">
      <w:pPr>
        <w:numPr>
          <w:ilvl w:val="0"/>
          <w:numId w:val="11"/>
        </w:numPr>
        <w:tabs>
          <w:tab w:val="clear" w:pos="582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Культура, кинематография, средства массовой информации – 53,6 % от общей суммы расходов.</w:t>
      </w:r>
    </w:p>
    <w:p w:rsidR="008C04A9" w:rsidRPr="008C04A9" w:rsidRDefault="008C04A9" w:rsidP="00947537">
      <w:pPr>
        <w:ind w:firstLine="540"/>
        <w:jc w:val="both"/>
        <w:rPr>
          <w:rFonts w:ascii="Times New Roman" w:hAnsi="Times New Roman" w:cs="Times New Roman"/>
        </w:rPr>
      </w:pPr>
      <w:r w:rsidRPr="008C04A9">
        <w:rPr>
          <w:rFonts w:ascii="Times New Roman" w:hAnsi="Times New Roman" w:cs="Times New Roman"/>
          <w:b/>
          <w:i/>
          <w:sz w:val="26"/>
          <w:szCs w:val="26"/>
        </w:rPr>
        <w:t xml:space="preserve">По разделу 0100 «Общегосударственные вопросы» </w:t>
      </w:r>
      <w:r w:rsidRPr="008C04A9">
        <w:rPr>
          <w:rFonts w:ascii="Times New Roman" w:hAnsi="Times New Roman" w:cs="Times New Roman"/>
          <w:sz w:val="26"/>
          <w:szCs w:val="26"/>
        </w:rPr>
        <w:t xml:space="preserve">исполнение расходов бюджета Васильевского сельского поселения </w:t>
      </w:r>
      <w:r w:rsidR="00B03E82">
        <w:rPr>
          <w:rFonts w:ascii="Times New Roman" w:hAnsi="Times New Roman" w:cs="Times New Roman"/>
          <w:sz w:val="26"/>
          <w:szCs w:val="26"/>
        </w:rPr>
        <w:t xml:space="preserve">составило 3763,4 тыс. руб. или </w:t>
      </w:r>
      <w:r w:rsidRPr="008C04A9">
        <w:rPr>
          <w:rFonts w:ascii="Times New Roman" w:hAnsi="Times New Roman" w:cs="Times New Roman"/>
          <w:sz w:val="26"/>
          <w:szCs w:val="26"/>
        </w:rPr>
        <w:t xml:space="preserve">97,9% от плановых показателей. </w:t>
      </w:r>
    </w:p>
    <w:p w:rsidR="008C04A9" w:rsidRPr="008C04A9" w:rsidRDefault="008C04A9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Расходы по разделу «Общегосударственные вопросы» составляют 26,9 % в общем объеме расходов бюджета Васильевского сельского поселения, аналогичный показатель за 2019 год составлял – 30,2 %.</w:t>
      </w:r>
    </w:p>
    <w:p w:rsidR="008C04A9" w:rsidRPr="008C04A9" w:rsidRDefault="008C04A9" w:rsidP="00947537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b/>
          <w:i/>
          <w:sz w:val="26"/>
          <w:szCs w:val="26"/>
        </w:rPr>
        <w:t xml:space="preserve">По разделу 0200 «Национальная оборона» </w:t>
      </w:r>
      <w:r w:rsidRPr="008C04A9">
        <w:rPr>
          <w:rFonts w:ascii="Times New Roman" w:hAnsi="Times New Roman" w:cs="Times New Roman"/>
          <w:sz w:val="26"/>
          <w:szCs w:val="26"/>
        </w:rPr>
        <w:t>исполнение составило 225,5 тыс. руб. или 225,5 тыс. руб. к утвержденным плановым назначениям. Расходы производились по подразделу 0203 «Мобилизационная и вневойсковая подготовка» или 100,0% от плановых показателей.</w:t>
      </w:r>
    </w:p>
    <w:p w:rsidR="008C04A9" w:rsidRPr="008C04A9" w:rsidRDefault="008C04A9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b/>
          <w:i/>
          <w:sz w:val="26"/>
          <w:szCs w:val="26"/>
        </w:rPr>
        <w:t>По разделу</w:t>
      </w:r>
      <w:r w:rsidRPr="008C04A9">
        <w:rPr>
          <w:rFonts w:ascii="Times New Roman" w:hAnsi="Times New Roman" w:cs="Times New Roman"/>
          <w:sz w:val="26"/>
          <w:szCs w:val="26"/>
        </w:rPr>
        <w:t xml:space="preserve"> </w:t>
      </w:r>
      <w:r w:rsidRPr="008C04A9">
        <w:rPr>
          <w:rFonts w:ascii="Times New Roman" w:hAnsi="Times New Roman" w:cs="Times New Roman"/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Pr="008C04A9">
        <w:rPr>
          <w:rFonts w:ascii="Times New Roman" w:hAnsi="Times New Roman" w:cs="Times New Roman"/>
          <w:sz w:val="26"/>
          <w:szCs w:val="26"/>
        </w:rPr>
        <w:t>исполнение составило 134,0 тыс. руб. или 100 % к уровню уточненных годовых назначений (134,0 тыс. руб.). По данному разделу произведены расходы по:</w:t>
      </w:r>
    </w:p>
    <w:p w:rsidR="008C04A9" w:rsidRPr="008C04A9" w:rsidRDefault="008C04A9" w:rsidP="009475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 xml:space="preserve">подразделу 0310 «Обеспечение пожарной безопасности» исполнение составило 134,0 тыс. руб. или 100%, при плановых назначениях 134,0 тыс. руб. </w:t>
      </w:r>
    </w:p>
    <w:p w:rsidR="008C04A9" w:rsidRPr="008C04A9" w:rsidRDefault="008C04A9" w:rsidP="0094753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A9" w:rsidRPr="008C04A9" w:rsidRDefault="008C04A9" w:rsidP="00947537">
      <w:pPr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b/>
          <w:i/>
          <w:sz w:val="26"/>
          <w:szCs w:val="26"/>
        </w:rPr>
        <w:t xml:space="preserve">      По разделу 0400 «Национальная экономика» </w:t>
      </w:r>
      <w:r w:rsidRPr="008C04A9">
        <w:rPr>
          <w:rFonts w:ascii="Times New Roman" w:hAnsi="Times New Roman" w:cs="Times New Roman"/>
          <w:sz w:val="26"/>
          <w:szCs w:val="26"/>
        </w:rPr>
        <w:t>исполнение сос</w:t>
      </w:r>
      <w:r w:rsidR="00B03E82">
        <w:rPr>
          <w:rFonts w:ascii="Times New Roman" w:hAnsi="Times New Roman" w:cs="Times New Roman"/>
          <w:sz w:val="26"/>
          <w:szCs w:val="26"/>
        </w:rPr>
        <w:t>тавило 584,7 тыс. руб. или 100%</w:t>
      </w:r>
      <w:r w:rsidRPr="008C04A9">
        <w:rPr>
          <w:rFonts w:ascii="Times New Roman" w:hAnsi="Times New Roman" w:cs="Times New Roman"/>
          <w:sz w:val="26"/>
          <w:szCs w:val="26"/>
        </w:rPr>
        <w:t xml:space="preserve"> к утвержденным плановым назначениям. Расходы производились по разделу 0409 «Дорожное хозяйство».</w:t>
      </w:r>
    </w:p>
    <w:p w:rsidR="008C04A9" w:rsidRPr="008C04A9" w:rsidRDefault="008C04A9" w:rsidP="00947537">
      <w:pPr>
        <w:ind w:left="542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b/>
          <w:i/>
          <w:sz w:val="26"/>
          <w:szCs w:val="26"/>
        </w:rPr>
        <w:t>По разделу 0500 «Жилищно-коммунальное хозяйство»</w:t>
      </w:r>
      <w:r w:rsidRPr="008C0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4A9">
        <w:rPr>
          <w:rFonts w:ascii="Times New Roman" w:hAnsi="Times New Roman" w:cs="Times New Roman"/>
          <w:sz w:val="26"/>
          <w:szCs w:val="26"/>
        </w:rPr>
        <w:t xml:space="preserve">исполнение составило 1530,3 тыс. руб. или 93,6%, при уточненных плановых назначениях в сумме 1635,2 тыс. руб. </w:t>
      </w:r>
    </w:p>
    <w:p w:rsidR="008C04A9" w:rsidRPr="008C04A9" w:rsidRDefault="008C04A9" w:rsidP="00947537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Расходы по разделу «Жилищно-коммунальное хозяйство» составляют 11 % в общем объеме расходов местного бюджета (в 2019 году аналогичный показатель составлял 18,9%).</w:t>
      </w:r>
    </w:p>
    <w:p w:rsidR="008C04A9" w:rsidRPr="008C04A9" w:rsidRDefault="008C04A9" w:rsidP="00947537">
      <w:pPr>
        <w:tabs>
          <w:tab w:val="left" w:pos="495"/>
          <w:tab w:val="left" w:pos="720"/>
        </w:tabs>
        <w:ind w:left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4A9">
        <w:rPr>
          <w:rFonts w:ascii="Times New Roman" w:hAnsi="Times New Roman" w:cs="Times New Roman"/>
          <w:sz w:val="26"/>
          <w:szCs w:val="26"/>
        </w:rPr>
        <w:t>Расходы произведены по подразделу 0503</w:t>
      </w:r>
      <w:r w:rsidRPr="008C04A9">
        <w:rPr>
          <w:rFonts w:ascii="Times New Roman" w:hAnsi="Times New Roman" w:cs="Times New Roman"/>
          <w:i/>
          <w:sz w:val="26"/>
          <w:szCs w:val="26"/>
        </w:rPr>
        <w:t xml:space="preserve"> «Благоустройство».</w:t>
      </w:r>
    </w:p>
    <w:p w:rsidR="00C0099C" w:rsidRPr="00C0099C" w:rsidRDefault="00C0099C" w:rsidP="0094753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99C">
        <w:rPr>
          <w:rFonts w:ascii="Times New Roman" w:hAnsi="Times New Roman" w:cs="Times New Roman"/>
          <w:b/>
          <w:i/>
          <w:sz w:val="26"/>
          <w:szCs w:val="26"/>
        </w:rPr>
        <w:t>Раздел   1000 «Социальное обеспечение»</w:t>
      </w:r>
    </w:p>
    <w:p w:rsidR="00C0099C" w:rsidRPr="00C0099C" w:rsidRDefault="00C0099C" w:rsidP="00947537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99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 подразделу 1001 «Пенсионное обеспечение» </w:t>
      </w:r>
      <w:r w:rsidRPr="00C0099C">
        <w:rPr>
          <w:rFonts w:ascii="Times New Roman" w:hAnsi="Times New Roman" w:cs="Times New Roman"/>
          <w:sz w:val="26"/>
          <w:szCs w:val="26"/>
        </w:rPr>
        <w:t xml:space="preserve">кассовое исполнение составило 242,1 тыс. руб. или 100 % от годовых бюджетных назначений (242,1 тыс. руб.). </w:t>
      </w:r>
    </w:p>
    <w:p w:rsidR="00C0099C" w:rsidRPr="00C0099C" w:rsidRDefault="00C0099C" w:rsidP="00947537">
      <w:pPr>
        <w:tabs>
          <w:tab w:val="left" w:pos="495"/>
          <w:tab w:val="left" w:pos="720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099C" w:rsidRPr="00C0099C" w:rsidRDefault="00C0099C" w:rsidP="00947537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099C">
        <w:rPr>
          <w:rFonts w:ascii="Times New Roman" w:hAnsi="Times New Roman" w:cs="Times New Roman"/>
          <w:b/>
          <w:i/>
          <w:sz w:val="26"/>
          <w:szCs w:val="26"/>
        </w:rPr>
        <w:t>Раздел 0800 «Культура, кинематография и средства</w:t>
      </w:r>
      <w:r w:rsidRPr="00C009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099C">
        <w:rPr>
          <w:rFonts w:ascii="Times New Roman" w:hAnsi="Times New Roman" w:cs="Times New Roman"/>
          <w:b/>
          <w:i/>
          <w:sz w:val="26"/>
          <w:szCs w:val="26"/>
        </w:rPr>
        <w:t>массовой информации»</w:t>
      </w:r>
    </w:p>
    <w:p w:rsidR="00C0099C" w:rsidRPr="00C0099C" w:rsidRDefault="00C0099C" w:rsidP="00947537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99C">
        <w:rPr>
          <w:rFonts w:ascii="Times New Roman" w:hAnsi="Times New Roman" w:cs="Times New Roman"/>
          <w:i/>
          <w:sz w:val="26"/>
          <w:szCs w:val="26"/>
        </w:rPr>
        <w:t xml:space="preserve">По подразделу 0801 «Культура» </w:t>
      </w:r>
      <w:r w:rsidRPr="00C0099C">
        <w:rPr>
          <w:rFonts w:ascii="Times New Roman" w:hAnsi="Times New Roman" w:cs="Times New Roman"/>
          <w:sz w:val="26"/>
          <w:szCs w:val="26"/>
        </w:rPr>
        <w:t xml:space="preserve">кассовое исполнение составило 7488,6 тыс. руб. или 99,8 % от годовых бюджетных назначений (7507,3 тыс. руб.). </w:t>
      </w:r>
    </w:p>
    <w:p w:rsidR="00C0099C" w:rsidRPr="00C0099C" w:rsidRDefault="00C0099C" w:rsidP="00947537">
      <w:pPr>
        <w:tabs>
          <w:tab w:val="left" w:pos="4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99C" w:rsidRPr="00C0099C" w:rsidRDefault="00C0099C" w:rsidP="0094753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C0099C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В бюджете Васильевского сельского поселения первоначально утверждено: объем муниципальног</w:t>
      </w:r>
      <w:r w:rsidR="00B03E82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 долга – 0.00 руб. исполнено в</w:t>
      </w:r>
      <w:r w:rsidRPr="00C0099C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бюджете Васильевского сельского поселения за 2020 </w:t>
      </w:r>
      <w:proofErr w:type="gramStart"/>
      <w:r w:rsidRPr="00C0099C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год  объем</w:t>
      </w:r>
      <w:proofErr w:type="gramEnd"/>
      <w:r w:rsidRPr="00C0099C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муниципального долга -0,00 руб.</w:t>
      </w:r>
    </w:p>
    <w:p w:rsidR="00C0099C" w:rsidRPr="00C0099C" w:rsidRDefault="00C0099C" w:rsidP="00947537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F55D7B" w:rsidRPr="009F04F0" w:rsidRDefault="00F55D7B" w:rsidP="00F55D7B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Lucida Sans Unicode" w:hAnsi="Times New Roman" w:cs="Times New Roman"/>
          <w:kern w:val="1"/>
        </w:rPr>
      </w:pPr>
      <w:r w:rsidRPr="009F04F0">
        <w:rPr>
          <w:rFonts w:ascii="Times New Roman" w:eastAsia="Lucida Sans Unicode" w:hAnsi="Times New Roman" w:cs="Times New Roman"/>
          <w:kern w:val="1"/>
        </w:rPr>
        <w:t>Приложение 2</w:t>
      </w:r>
    </w:p>
    <w:p w:rsidR="00F55D7B" w:rsidRPr="009F04F0" w:rsidRDefault="00F55D7B" w:rsidP="00F55D7B">
      <w:pPr>
        <w:rPr>
          <w:rFonts w:ascii="Times New Roman" w:hAnsi="Times New Roman" w:cs="Times New Roman"/>
        </w:rPr>
      </w:pPr>
      <w:r w:rsidRPr="009F04F0">
        <w:rPr>
          <w:rFonts w:ascii="Times New Roman" w:hAnsi="Times New Roman" w:cs="Times New Roman"/>
          <w:b/>
        </w:rPr>
        <w:t>Информация о численности муниципальных служащих органов местного самоуправления, работников муниципальных учреждений бюджетной сферы Васильевского сельского поселения.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Плановая</w:t>
            </w:r>
          </w:p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(чел)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Фактическая численность</w:t>
            </w:r>
          </w:p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(чел)</w:t>
            </w:r>
          </w:p>
        </w:tc>
      </w:tr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5</w:t>
            </w:r>
          </w:p>
        </w:tc>
      </w:tr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Работники бюджетной сферы</w:t>
            </w:r>
          </w:p>
        </w:tc>
        <w:tc>
          <w:tcPr>
            <w:tcW w:w="2393" w:type="dxa"/>
          </w:tcPr>
          <w:p w:rsidR="00F55D7B" w:rsidRPr="009F04F0" w:rsidRDefault="00C0099C" w:rsidP="00F5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F55D7B" w:rsidRPr="009F04F0" w:rsidRDefault="00C0099C" w:rsidP="00F5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  <w:r w:rsidRPr="009F04F0">
              <w:rPr>
                <w:rFonts w:ascii="Times New Roman" w:hAnsi="Times New Roman" w:cs="Times New Roman"/>
              </w:rPr>
              <w:t>11</w:t>
            </w:r>
          </w:p>
        </w:tc>
      </w:tr>
      <w:tr w:rsidR="00F55D7B" w:rsidRPr="009F04F0" w:rsidTr="00F55D7B">
        <w:trPr>
          <w:jc w:val="center"/>
        </w:trPr>
        <w:tc>
          <w:tcPr>
            <w:tcW w:w="828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</w:tcPr>
          <w:p w:rsidR="00F55D7B" w:rsidRPr="009F04F0" w:rsidRDefault="00F55D7B" w:rsidP="00F55D7B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</w:tcPr>
          <w:p w:rsidR="00F55D7B" w:rsidRPr="009F04F0" w:rsidRDefault="00F55D7B" w:rsidP="00C0099C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2</w:t>
            </w:r>
            <w:r w:rsidR="00C009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3" w:type="dxa"/>
          </w:tcPr>
          <w:p w:rsidR="00F55D7B" w:rsidRPr="009F04F0" w:rsidRDefault="00F55D7B" w:rsidP="00C0099C">
            <w:pPr>
              <w:rPr>
                <w:rFonts w:ascii="Times New Roman" w:hAnsi="Times New Roman" w:cs="Times New Roman"/>
                <w:b/>
              </w:rPr>
            </w:pPr>
            <w:r w:rsidRPr="009F04F0">
              <w:rPr>
                <w:rFonts w:ascii="Times New Roman" w:hAnsi="Times New Roman" w:cs="Times New Roman"/>
                <w:b/>
              </w:rPr>
              <w:t>2</w:t>
            </w:r>
            <w:r w:rsidR="00C0099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55D7B" w:rsidRPr="009F04F0" w:rsidRDefault="00F55D7B" w:rsidP="0057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494949"/>
          <w:lang w:eastAsia="ru-RU"/>
        </w:rPr>
      </w:pP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Проверка отдельных показателей отчета об исполнении местного бюджета и форм бюджетной отчетности по доходам и расходам на соответствие требованиям бюджетного законодательства и их достоверность</w:t>
      </w:r>
      <w:r w:rsidR="00CF519C" w:rsidRPr="009475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Источниками формирования доходов бюджета муниципального образования «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Васильевское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предусмотрены федеральные, региональные и местные налоги и сборы, неналоговые доходы в соответствие с нормативами, установленными Бюджетным кодексом Российской Федерации, областном законом об областном бюджете на 20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на 202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годов, а также безвозмездные поступления.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Проверкой соответствия доходов бюджета поселения на 20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03E82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F519C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видам доходов, предусмотренным главой 9 Бюджетного кодекса Российской Федерации, расхождений не установлено.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Выводы по результатам проверки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1. Отчёт об исполнении местного бюджета за 20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составлен в соответствии с Бюджетным кодексом РФ и соответствует структуре и бюджетной классификации, которая применялась при утверждении Закона Ивановской области  от  </w:t>
      </w:r>
      <w:r w:rsidR="00BD380B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№ 7</w:t>
      </w:r>
      <w:r w:rsidR="00BD380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-ОЗ «Об областном бюджете на 20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20 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>год и плановый период 202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2. В составе годового отчёта все формы отчётности соответствуют требованиям приказа министерства финансов РФ от 28.12.2010 N 191н.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3. Факты недостоверности бюджетной отчетности муниципального образования «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Васильевское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по состоянию на 01.01.202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г. не установлены.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Предложения по результатам внешней проверки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37">
        <w:rPr>
          <w:rFonts w:ascii="Times New Roman" w:hAnsi="Times New Roman" w:cs="Times New Roman"/>
          <w:sz w:val="26"/>
          <w:szCs w:val="26"/>
          <w:lang w:eastAsia="ru-RU"/>
        </w:rPr>
        <w:t>Направить заключение о результатах внешней проверки годового бюджетного отчета муниципального образования «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Васильевское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поселение»» за 20</w:t>
      </w:r>
      <w:r w:rsidR="00C0099C" w:rsidRPr="0094753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год Совету </w:t>
      </w:r>
      <w:r w:rsidR="00A35F20" w:rsidRPr="00947537">
        <w:rPr>
          <w:rFonts w:ascii="Times New Roman" w:hAnsi="Times New Roman" w:cs="Times New Roman"/>
          <w:sz w:val="26"/>
          <w:szCs w:val="26"/>
          <w:lang w:eastAsia="ru-RU"/>
        </w:rPr>
        <w:t>Васильевского</w:t>
      </w:r>
      <w:r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для утверждения годового отчета.</w:t>
      </w:r>
    </w:p>
    <w:p w:rsidR="00571D25" w:rsidRPr="00947537" w:rsidRDefault="00E04B38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19.02.2021</w:t>
      </w:r>
    </w:p>
    <w:p w:rsidR="00571D25" w:rsidRPr="00947537" w:rsidRDefault="00571D25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D25" w:rsidRDefault="00BA7F5C" w:rsidP="0094753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</w:t>
      </w:r>
      <w:r w:rsidR="00571D25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Л.В.</w:t>
      </w:r>
      <w:r w:rsidR="00571D25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55D7B" w:rsidRPr="00947537">
        <w:rPr>
          <w:rFonts w:ascii="Times New Roman" w:hAnsi="Times New Roman" w:cs="Times New Roman"/>
          <w:sz w:val="26"/>
          <w:szCs w:val="26"/>
          <w:lang w:eastAsia="ru-RU"/>
        </w:rPr>
        <w:t>Шашкова</w:t>
      </w:r>
      <w:proofErr w:type="spellEnd"/>
      <w:r w:rsidR="00F55D7B" w:rsidRPr="009475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A7F5C" w:rsidRPr="00947537" w:rsidRDefault="00BA7F5C" w:rsidP="00BA7F5C">
      <w:pPr>
        <w:tabs>
          <w:tab w:val="center" w:pos="4961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Инспектор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М.В.Ясников</w:t>
      </w:r>
      <w:proofErr w:type="spellEnd"/>
    </w:p>
    <w:p w:rsidR="00A6734D" w:rsidRPr="009F04F0" w:rsidRDefault="00A6734D">
      <w:pPr>
        <w:rPr>
          <w:rFonts w:ascii="Times New Roman" w:hAnsi="Times New Roman" w:cs="Times New Roman"/>
        </w:rPr>
      </w:pPr>
    </w:p>
    <w:sectPr w:rsidR="00A6734D" w:rsidRPr="009F04F0" w:rsidSect="00947537">
      <w:pgSz w:w="11906" w:h="16838"/>
      <w:pgMar w:top="1134" w:right="850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6E" w:rsidRDefault="007B026E" w:rsidP="00F55D7B">
      <w:pPr>
        <w:spacing w:after="0" w:line="240" w:lineRule="auto"/>
      </w:pPr>
      <w:r>
        <w:separator/>
      </w:r>
    </w:p>
  </w:endnote>
  <w:endnote w:type="continuationSeparator" w:id="0">
    <w:p w:rsidR="007B026E" w:rsidRDefault="007B026E" w:rsidP="00F5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34793E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9C453B" w:rsidRPr="000122BA" w:rsidRDefault="009C453B" w:rsidP="0034793E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34793E">
    <w:pPr>
      <w:pStyle w:val="ab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F55D7B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9C453B" w:rsidRPr="000122BA" w:rsidRDefault="009C453B" w:rsidP="00F55D7B">
    <w:pPr>
      <w:pStyle w:val="ab"/>
      <w:ind w:right="360"/>
      <w:rPr>
        <w:sz w:val="19"/>
        <w:szCs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F55D7B">
    <w:pPr>
      <w:pStyle w:val="ab"/>
      <w:ind w:right="360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Default="009C45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6E" w:rsidRDefault="007B026E" w:rsidP="00F55D7B">
      <w:pPr>
        <w:spacing w:after="0" w:line="240" w:lineRule="auto"/>
      </w:pPr>
      <w:r>
        <w:separator/>
      </w:r>
    </w:p>
  </w:footnote>
  <w:footnote w:type="continuationSeparator" w:id="0">
    <w:p w:rsidR="007B026E" w:rsidRDefault="007B026E" w:rsidP="00F5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34793E">
    <w:pPr>
      <w:pStyle w:val="af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9C453B" w:rsidRPr="000122BA" w:rsidRDefault="009C453B">
    <w:pPr>
      <w:pStyle w:val="af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34793E">
    <w:pPr>
      <w:pStyle w:val="af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E04B38">
      <w:rPr>
        <w:rStyle w:val="aa"/>
        <w:noProof/>
        <w:sz w:val="22"/>
        <w:szCs w:val="22"/>
      </w:rPr>
      <w:t>7</w:t>
    </w:r>
    <w:r w:rsidRPr="000122BA">
      <w:rPr>
        <w:rStyle w:val="aa"/>
        <w:sz w:val="22"/>
        <w:szCs w:val="22"/>
      </w:rPr>
      <w:fldChar w:fldCharType="end"/>
    </w:r>
  </w:p>
  <w:p w:rsidR="009C453B" w:rsidRPr="000122BA" w:rsidRDefault="009C453B">
    <w:pPr>
      <w:pStyle w:val="af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F55D7B">
    <w:pPr>
      <w:pStyle w:val="af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9C453B" w:rsidRPr="000122BA" w:rsidRDefault="009C453B">
    <w:pPr>
      <w:pStyle w:val="af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Pr="000122BA" w:rsidRDefault="009C453B" w:rsidP="00F55D7B">
    <w:pPr>
      <w:pStyle w:val="af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E04B38">
      <w:rPr>
        <w:rStyle w:val="aa"/>
        <w:noProof/>
        <w:sz w:val="22"/>
        <w:szCs w:val="22"/>
      </w:rPr>
      <w:t>14</w:t>
    </w:r>
    <w:r w:rsidRPr="000122BA">
      <w:rPr>
        <w:rStyle w:val="aa"/>
        <w:sz w:val="22"/>
        <w:szCs w:val="22"/>
      </w:rPr>
      <w:fldChar w:fldCharType="end"/>
    </w:r>
  </w:p>
  <w:p w:rsidR="009C453B" w:rsidRPr="000122BA" w:rsidRDefault="009C453B">
    <w:pPr>
      <w:pStyle w:val="af"/>
      <w:rPr>
        <w:sz w:val="19"/>
        <w:szCs w:val="19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3B" w:rsidRDefault="009C4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5"/>
    <w:rsid w:val="000872A2"/>
    <w:rsid w:val="000A5F0C"/>
    <w:rsid w:val="001674A2"/>
    <w:rsid w:val="00177525"/>
    <w:rsid w:val="001C1E35"/>
    <w:rsid w:val="001D3145"/>
    <w:rsid w:val="00204C84"/>
    <w:rsid w:val="0029775C"/>
    <w:rsid w:val="002D2569"/>
    <w:rsid w:val="002F3A19"/>
    <w:rsid w:val="0030430A"/>
    <w:rsid w:val="0034793E"/>
    <w:rsid w:val="003555B2"/>
    <w:rsid w:val="00394B94"/>
    <w:rsid w:val="004970C1"/>
    <w:rsid w:val="00516834"/>
    <w:rsid w:val="00550070"/>
    <w:rsid w:val="00566AE3"/>
    <w:rsid w:val="00571D25"/>
    <w:rsid w:val="005C71B5"/>
    <w:rsid w:val="006034F9"/>
    <w:rsid w:val="006A453C"/>
    <w:rsid w:val="006D4D4B"/>
    <w:rsid w:val="00740114"/>
    <w:rsid w:val="00743F1D"/>
    <w:rsid w:val="007B026E"/>
    <w:rsid w:val="007E4D2E"/>
    <w:rsid w:val="008C04A9"/>
    <w:rsid w:val="00932EDF"/>
    <w:rsid w:val="00934848"/>
    <w:rsid w:val="00947537"/>
    <w:rsid w:val="009A5C3E"/>
    <w:rsid w:val="009C453B"/>
    <w:rsid w:val="009F04F0"/>
    <w:rsid w:val="00A35F20"/>
    <w:rsid w:val="00A6734D"/>
    <w:rsid w:val="00A91E42"/>
    <w:rsid w:val="00AA1A19"/>
    <w:rsid w:val="00AF49DA"/>
    <w:rsid w:val="00B03E82"/>
    <w:rsid w:val="00B82AE6"/>
    <w:rsid w:val="00B918D4"/>
    <w:rsid w:val="00B96AAB"/>
    <w:rsid w:val="00BA7F5C"/>
    <w:rsid w:val="00BB5D1B"/>
    <w:rsid w:val="00BD380B"/>
    <w:rsid w:val="00C0099C"/>
    <w:rsid w:val="00C61C54"/>
    <w:rsid w:val="00CF519C"/>
    <w:rsid w:val="00D30076"/>
    <w:rsid w:val="00DD7547"/>
    <w:rsid w:val="00DF4822"/>
    <w:rsid w:val="00E04B38"/>
    <w:rsid w:val="00EA2225"/>
    <w:rsid w:val="00EC4C7C"/>
    <w:rsid w:val="00F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C04F-4951-44FC-8250-BA008721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5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D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55D7B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link w:val="a5"/>
    <w:rsid w:val="00F55D7B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F55D7B"/>
    <w:rPr>
      <w:color w:val="0000FF"/>
      <w:u w:val="single"/>
    </w:rPr>
  </w:style>
  <w:style w:type="paragraph" w:customStyle="1" w:styleId="a7">
    <w:name w:val="Знак"/>
    <w:basedOn w:val="a"/>
    <w:rsid w:val="00F55D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F5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5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F55D7B"/>
    <w:rPr>
      <w:color w:val="008000"/>
    </w:rPr>
  </w:style>
  <w:style w:type="character" w:styleId="aa">
    <w:name w:val="page number"/>
    <w:basedOn w:val="a0"/>
    <w:rsid w:val="00F55D7B"/>
  </w:style>
  <w:style w:type="paragraph" w:styleId="ab">
    <w:name w:val="footer"/>
    <w:basedOn w:val="a"/>
    <w:link w:val="ac"/>
    <w:rsid w:val="00F55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F55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F55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F55D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F55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F55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55D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55D7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F5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F55D7B"/>
    <w:rPr>
      <w:b/>
      <w:bCs/>
    </w:rPr>
  </w:style>
  <w:style w:type="character" w:styleId="af5">
    <w:name w:val="Book Title"/>
    <w:basedOn w:val="a0"/>
    <w:uiPriority w:val="33"/>
    <w:qFormat/>
    <w:rsid w:val="00F55D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7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578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5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9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8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9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2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0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799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0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05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72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167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086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476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5077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843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10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908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4028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9343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0079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739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34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5623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6973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681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4697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1529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5231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1504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8518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12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71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300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522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95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355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9220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AE64-5C00-4987-B8BB-3154420B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2021-03-17T10:37:00Z</cp:lastPrinted>
  <dcterms:created xsi:type="dcterms:W3CDTF">2021-02-08T12:55:00Z</dcterms:created>
  <dcterms:modified xsi:type="dcterms:W3CDTF">2021-08-13T08:06:00Z</dcterms:modified>
</cp:coreProperties>
</file>